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/>
    <w:p>
      <w:pPr>
        <w:jc w:val="center"/>
      </w:pPr>
      <w:r>
        <w:rPr>
          <w:rFonts w:ascii="Arial" w:cs="Arial" w:eastAsia="Arial" w:hAnsi="Arial"/>
          <w:b/>
          <w:bCs/>
          <w:color w:val="1B3A6B"/>
          <w:sz w:val="56"/>
          <w:szCs w:val="56"/>
        </w:rPr>
        <w:t xml:space="preserve">EV CAMPER RESOURCE MONITOR</w:t>
      </w:r>
    </w:p>
    <w:p>
      <w:pPr>
        <w:jc w:val="center"/>
      </w:pPr>
      <w:r>
        <w:rPr>
          <w:rFonts w:ascii="Arial" w:cs="Arial" w:eastAsia="Arial" w:hAnsi="Arial"/>
          <w:b/>
          <w:bCs/>
          <w:color w:val="2E5FA3"/>
          <w:sz w:val="36"/>
          <w:szCs w:val="36"/>
        </w:rPr>
        <w:t xml:space="preserve">Mock Data Documentation</w:t>
      </w:r>
    </w:p>
    <w:p/>
    <w:p>
      <w:pPr>
        <w:jc w:val="center"/>
      </w:pPr>
      <w:r>
        <w:rPr>
          <w:rFonts w:ascii="Arial" w:cs="Arial" w:eastAsia="Arial" w:hAnsi="Arial"/>
          <w:color w:val="1A7A8A"/>
          <w:sz w:val="24"/>
          <w:szCs w:val="24"/>
        </w:rPr>
        <w:t xml:space="preserve">Power &amp; Water CSV Export Schema and Sample Data</w:t>
      </w:r>
    </w:p>
    <w:p/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Version 1.0  ·  February 2026  ·  Generated by generate_mock_data.py</w:t>
      </w:r>
    </w:p>
    <w:p/>
    <w:p/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</w:tblGrid>
      <w:tr>
        <w:tc>
          <w:tcPr>
            <w:tcW w:type="dxa" w:w="7200"/>
            <w:gridSpan w:val="2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Trip Configuration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User Profile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Typical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Occupants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people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days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Temperature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Humidity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Comfortable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Sunlight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Hi-Sunny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Battery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 kWh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Solar Array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5.25 kW (35 panels)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Fresh Tank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 gal (378.5 L)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Grey Tank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 gal (189.3 L)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Black Tank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 gal (170.3 L)</w:t>
            </w:r>
          </w:p>
        </w:tc>
      </w:tr>
    </w:tbl>
    <w:p/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1.  Overview</w:t>
      </w:r>
    </w:p>
    <w:p>
      <w:pPr>
        <w:spacing w:after="160"/>
      </w:pPr>
      <w:r>
        <w:rPr>
          <w:rFonts w:ascii="Arial" w:cs="Arial" w:eastAsia="Arial" w:hAnsi="Arial"/>
          <w:sz w:val="20"/>
          <w:szCs w:val="20"/>
        </w:rPr>
        <w:t xml:space="preserve">This document describes the mock dataset generated by generate_mock_data.py for the EV Camper Resource Monitor application. The generator produces two parallel export streams — power and water — each at five time resolutions, following the same schema design principles as the Emporia Vue 3 home energy monitor CSV export format.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All values are derived from the data.json lookup tables, which encode component power draws, user activity profiles, solar insolation data, and tank capacities. Noise and time-of-day shape functions are applied to produce realistic variance.</w:t>
      </w:r>
    </w:p>
    <w:p>
      <w:pPr>
        <w:pStyle w:val="Heading2"/>
      </w:pPr>
      <w:r>
        <w:rPr>
          <w:rFonts w:ascii="Arial" w:cs="Arial" w:eastAsia="Arial" w:hAnsi="Arial"/>
        </w:rPr>
        <w:t xml:space="preserve">1.1  Design Principles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The schema follows four conventions borrowed from the Emporia Vue 3 format: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Unit suffix in column name: </w:t>
      </w:r>
      <w:r>
        <w:rPr>
          <w:rFonts w:ascii="Arial" w:cs="Arial" w:eastAsia="Arial" w:hAnsi="Arial"/>
          <w:sz w:val="20"/>
          <w:szCs w:val="20"/>
        </w:rPr>
        <w:t xml:space="preserve">Every column carries its unit in the header (e.g. Solar_Flow_kW, Shower_Total_L) — no separate units row needed.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Flow vs. Total naming: </w:t>
      </w:r>
      <w:r>
        <w:rPr>
          <w:rFonts w:ascii="Arial" w:cs="Arial" w:eastAsia="Arial" w:hAnsi="Arial"/>
          <w:sz w:val="20"/>
          <w:szCs w:val="20"/>
        </w:rPr>
        <w:t xml:space="preserve">Sub-hourly files (1SEC, 1MIN, 15MIN) use instantaneous rate columns suffixed _kW or _Lpm. Hourly and daily files use accumulated totals suffixed _kWh or _L.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Balance / Unmetered column: </w:t>
      </w:r>
      <w:r>
        <w:rPr>
          <w:rFonts w:ascii="Arial" w:cs="Arial" w:eastAsia="Arial" w:hAnsi="Arial"/>
          <w:sz w:val="20"/>
          <w:szCs w:val="20"/>
        </w:rPr>
        <w:t xml:space="preserve">Derived as Sources minus Loads. Near-zero means all consumption is accounted for. Persistent deviation flags a sensor issue.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State snapshot columns: </w:t>
      </w:r>
      <w:r>
        <w:rPr>
          <w:rFonts w:ascii="Arial" w:cs="Arial" w:eastAsia="Arial" w:hAnsi="Arial"/>
          <w:sz w:val="20"/>
          <w:szCs w:val="20"/>
        </w:rPr>
        <w:t xml:space="preserve">Battery level (Ah, Pct) and tank levels (L, Pct) are end-of-interval point-in-time values, not deltas. They appear in every resolution.</w:t>
      </w:r>
    </w:p>
    <w:p/>
    <w:p>
      <w:pPr>
        <w:pStyle w:val="Heading2"/>
      </w:pPr>
      <w:r>
        <w:rPr>
          <w:rFonts w:ascii="Arial" w:cs="Arial" w:eastAsia="Arial" w:hAnsi="Arial"/>
        </w:rPr>
        <w:t xml:space="preserve">1.2  Output Structure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The generator produces a ZIP archive containing two folders: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2160"/>
        <w:gridCol w:w="4400"/>
      </w:tblGrid>
      <w:tr>
        <w:tc>
          <w:tcPr>
            <w:tcW w:type="dxa" w:w="16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Folder</w:t>
            </w:r>
          </w:p>
        </w:tc>
        <w:tc>
          <w:tcPr>
            <w:tcW w:type="dxa" w:w="12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21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</w:t>
            </w:r>
          </w:p>
        </w:tc>
        <w:tc>
          <w:tcPr>
            <w:tcW w:type="dxa" w:w="44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power/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1SEC.csv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1-second (3h window)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Instantaneous kW flows + battery/voltage state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power/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1MIN.csv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1-minute (full trip)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Instantaneous kW flows + battery/voltage state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power/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15MIN.csv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15-minute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Averaged kW flows + battery/voltage state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power/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1H.csv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Hourly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 totals, split battery charged/discharged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power/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1DAY.csv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Daily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 totals, split battery charged/discharged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1MIN.csv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1-minute (full trip)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Instantaneous Lpm flows + tank levels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15MIN.csv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15-minute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Averaged Lpm flows + tank levels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1H.csv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Hourly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Litre totals + tank level and percentage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water/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1DAY.csv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Daily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Litre totals + tank level and percentage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2.  Power Schema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Power data originates from component voltage and current tables in data.json, shaped by time-of-day curves and user profile runtimes. The fundamental energy balance equation is: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35C00" w:sz="6"/>
              <w:left w:val="single" w:color="B35C00" w:sz="18"/>
              <w:bottom w:val="single" w:color="B35C00" w:sz="6"/>
              <w:right w:val="single" w:color="B35C00" w:sz="6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B35C00"/>
                <w:sz w:val="20"/>
                <w:szCs w:val="20"/>
              </w:rPr>
              <w:t xml:space="preserve">Balance: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Sources − Loads = Unmetered_Flow_kW ≈ 0</w:t>
            </w:r>
          </w:p>
        </w:tc>
      </w:tr>
    </w:tbl>
    <w:p/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Where Sources = Solar + Shore + Battery Discharge  and  Loads = all circuit columns + Battery Charge.</w:t>
      </w:r>
    </w:p>
    <w:p>
      <w:pPr>
        <w:pStyle w:val="Heading2"/>
      </w:pPr>
      <w:r>
        <w:rPr>
          <w:rFonts w:ascii="Arial" w:cs="Arial" w:eastAsia="Arial" w:hAnsi="Arial"/>
        </w:rPr>
        <w:t xml:space="preserve">2.1  Flow Files  (1SEC · 1MIN · 15MIN)  —  kW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All non-Time columns represent instantaneous power in kilowatts (kW).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c>
          <w:tcPr>
            <w:tcW w:type="dxa" w:w="2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14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51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ISO 8601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Start of interval (UTC)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Solar_Flow_kW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PV array generation (always &gt;= 0). Bell-curve peak at solar noon.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Shore_Flow_kW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External hookup / grid input (&gt;= 0). Activates only when battery is nearly depleted.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Battery charge/discharge. Positive = charging (surplus solar). Negative = discharging (deficit).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HVAC_Flow_kW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Mini-split HVAC system. Peaks midday (Hot) or overnight (Cold) per hvac_energy_wh_day table.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Lighting_Flow_kW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Interior and exterior lighting circuits. Active 06:00-23:00 shaped by activity curve.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Devices_Flow_kW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Always-on sensors, cameras, compute, and consumer electronics.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Fridge_Flow_kW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Compressor refrigerator. Runs 24h with duty-cycle variation.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WaterPump_Flow_kW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12V water pump. Spikes during morning and evening water usage events.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Cooking_Flow_kW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Stove, microwave, and tankless water heater. Active during meal windows.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Inverter_Flow_kW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AC loads via inverter (TV and other 120V devices).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Unmetered_Flow_kW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Derived: Sources - Loads. Near-zero when all circuits are metered correctly.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Battery_Level_Ah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Remaining battery capacity in amp-hours. Snapshot at end of interval.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Battery_Level_Pct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Remaining battery as percentage of 100 kWh capacity.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Solar_Voltage_V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PV array voltage. Zero at night. Typically 36-52 V.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Battery_Voltage_V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Battery bus voltage. Ranges 46-52 V based on state of charge.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2.2  Energy Files  (1H · 1DAY)  —  kWh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Accumulated totals over the interval period. kW values are integrated: kWh = kW x minutes / 60. Battery_Flow_kW is split into two separate positive columns to preserve directionality information that would otherwise cancel out over long windows.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c>
          <w:tcPr>
            <w:tcW w:type="dxa" w:w="2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14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51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ISO 8601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Start of interval (UTC)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Solar_Total_kWh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PV energy generated this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Shore_Total_kWh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energy drawn from shore power this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Battery_Charged_kWh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energy pushed INTO the battery (surplus). Always &gt;= 0.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Battery_Discharged_kWh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energy pulled FROM the battery (deficit). Always &gt;= 0.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HVAC_Total_kWh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HVAC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Lighting_Total_kWh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lighting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Devices_Total_kWh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always-on devices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Fridge_Total_kWh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refrigerator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WaterPump_Total_kWh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water pump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Cooking_Total_kWh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cooking appliance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Inverter_Total_kWh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AC inverter load energy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Unmetered_Total_kWh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kWh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Derived balance. Should approach zero when all circuits are metered.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Battery_Level_Ah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Ah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Battery level at end of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Battery_Level_Pct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Battery level percentage at end of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Solar_Voltage_Avg_V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Average PV voltage over the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Battery_Voltage_Avg_V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Average battery voltage over the period.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3.  Water Schema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Water consumption is derived from the user profile volume_based tables (gallons per cycle converted to litres) multiplied by cycles per day per person. Flow is distributed across the day using a double-peak event curve modelling morning (shower, breakfast) and evening (dinner, dishes) usage windows.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8A" w:sz="6"/>
              <w:left w:val="single" w:color="1A7A8A" w:sz="18"/>
              <w:bottom w:val="single" w:color="1A7A8A" w:sz="6"/>
              <w:right w:val="single" w:color="1A7A8A" w:sz="6"/>
            </w:tcBorders>
            <w:shd w:fill="D0EE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8A"/>
                <w:sz w:val="20"/>
                <w:szCs w:val="20"/>
              </w:rPr>
              <w:t xml:space="preserve">Balance: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Pump_Flow_Lpm - (Shower + Kitchen + Toilet) = Unmetered_Flow_Lpm ≈ 0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3.1  Flow Files  (1MIN · 15MIN)  —  Lpm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All non-Time columns represent instantaneous flow rate in litres per minute (Lpm).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c>
          <w:tcPr>
            <w:tcW w:type="dxa" w:w="2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14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51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ISO 8601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Start of interval (UTC)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Inlet_Flow_Lpm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Water flowing into fresh tank from external fill point. Non-zero only during fill events.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Pump_Flow_Lpm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flow leaving fresh tank via onboard 12V pump. Sum of all sub-circuits.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Shower_Flow_Lpm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Flow to shower. Peaks at morning event window. Derived from shower_water gal/cycle profile.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Kitchen_Flow_Lpm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Flow to kitchen faucet, dishwasher, and cleaning. Derived from kitchen faucet + dishwasher gallons.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Toilet_Flow_Lpm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Flow to toilet flush and hand-washing sink. Derived from toilet_sink_water + gravity_flush gallons.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Unmetered_Flow_Lpm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Lpm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Derived: Pump - (Shower + Kitchen + Toilet). Should be near-zero with all meters installed.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FreshTank_Level_L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Fresh water remaining in tank. Point-in-time snapshot, not a delta.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GreyTank_Level_L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Grey water accumulated. Updated as shower and kitchen outflow is routed to grey tank (90% of flow).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BlackTank_Level_L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Black water accumulated. Derived: cumulative sum of Toilet_Flow_Lpm × 1 min. Resets to 0 on detected dump event (level drop &gt; 10 L/min).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3.2  Energy Files  (1H · 1DAY)  —  L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Accumulated totals over the interval. Lpm values are summed directly: L = Lpm x minutes (since flow is measured at 1-minute resolution). Tank level columns remain point-in-time snapshots.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c>
          <w:tcPr>
            <w:tcW w:type="dxa" w:w="2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14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51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ISO 8601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Start of interval (UTC)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Inlet_Total_L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water filled into fresh tank this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Pump_Total_L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water pumped out of fresh tank.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Shower_Total_L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shower water consumed.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Kitchen_Total_L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kitchen water consumed (faucet + dishwasher + cleaning + drinking).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Toilet_Total_L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Total toilet water consumed (flush + hand-washing).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Unmetered_Total_L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Derived balance for the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FreshTank_Level_L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Fresh tank volume at end of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FreshTank_Level_Pct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Fresh tank level as percentage of 378.5 L (100 gal) capacity.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GreyTank_Level_L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Grey tank volume at end of period.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GreyTank_Level_Pct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Grey tank level as percentage of 189.3 L (50 gal) capacity.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BlackTank_Level_L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Black tank volume at end of period. Derived from cumulative toilet flow.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BlackTank_Level_Pct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Black tank level as percentage of 170.3 L (45 gal) capacity.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4.  Sample Data</w:t>
      </w:r>
    </w:p>
    <w:p>
      <w:pPr>
        <w:pStyle w:val="Heading2"/>
      </w:pPr>
      <w:r>
        <w:rPr>
          <w:rFonts w:ascii="Arial" w:cs="Arial" w:eastAsia="Arial" w:hAnsi="Arial"/>
        </w:rPr>
        <w:t xml:space="preserve">4.1  Power — Daily Summary (1DAY.csv)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3-day trip showing solar surplus with battery cycling. HVAC and Cooking dominate consumption.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50"/>
        <w:gridCol w:w="1050"/>
        <w:gridCol w:w="1000"/>
        <w:gridCol w:w="1000"/>
        <w:gridCol w:w="1000"/>
        <w:gridCol w:w="1000"/>
        <w:gridCol w:w="1060"/>
      </w:tblGrid>
      <w:tr>
        <w:tc>
          <w:tcPr>
            <w:tcW w:type="dxa" w:w="12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05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Solar kWh</w:t>
            </w:r>
          </w:p>
        </w:tc>
        <w:tc>
          <w:tcPr>
            <w:tcW w:type="dxa" w:w="105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Shore kWh</w:t>
            </w:r>
          </w:p>
        </w:tc>
        <w:tc>
          <w:tcPr>
            <w:tcW w:type="dxa" w:w="10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Bat+ kWh</w:t>
            </w:r>
          </w:p>
        </w:tc>
        <w:tc>
          <w:tcPr>
            <w:tcW w:type="dxa" w:w="10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Bat- kWh</w:t>
            </w:r>
          </w:p>
        </w:tc>
        <w:tc>
          <w:tcPr>
            <w:tcW w:type="dxa" w:w="10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HVAC kWh</w:t>
            </w:r>
          </w:p>
        </w:tc>
        <w:tc>
          <w:tcPr>
            <w:tcW w:type="dxa" w:w="10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Cook kWh</w:t>
            </w:r>
          </w:p>
        </w:tc>
        <w:tc>
          <w:tcPr>
            <w:tcW w:type="dxa" w:w="106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Bat%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2026-02-18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38.20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27.91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12.70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3.41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13.87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90.8%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2026-02-19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38.02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27.72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12.64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3.42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13.80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90.8%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2026-02-20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38.18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27.91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12.84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3.40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13.99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90.7%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5FA3" w:sz="6"/>
              <w:left w:val="single" w:color="2E5FA3" w:sz="18"/>
              <w:bottom w:val="single" w:color="2E5FA3" w:sz="6"/>
              <w:right w:val="single" w:color="2E5FA3" w:sz="6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A3"/>
                <w:sz w:val="20"/>
                <w:szCs w:val="20"/>
              </w:rPr>
              <w:t xml:space="preserve">Note: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Solar generates ~38 kWh/day against ~23 kWh total load. Surplus charges the battery midday (peak ~27 kWh charged). Night discharge draws ~12.7 kWh, leaving the battery stable at ~90% SoC across all 3 days.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4.2  Power — 1-Minute Sample (07:00 window)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Morning window showing solar ramping up, cooking load active, water pump engaged.</w:t>
      </w:r>
    </w:p>
    <w:tbl>
      <w:tblPr>
        <w:tblW w:type="dxa" w:w="6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900"/>
        <w:gridCol w:w="900"/>
        <w:gridCol w:w="900"/>
        <w:gridCol w:w="900"/>
        <w:gridCol w:w="900"/>
        <w:gridCol w:w="860"/>
      </w:tblGrid>
      <w:tr>
        <w:tc>
          <w:tcPr>
            <w:tcW w:type="dxa" w:w="14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9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Solar kW</w:t>
            </w:r>
          </w:p>
        </w:tc>
        <w:tc>
          <w:tcPr>
            <w:tcW w:type="dxa" w:w="9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Bat kW</w:t>
            </w:r>
          </w:p>
        </w:tc>
        <w:tc>
          <w:tcPr>
            <w:tcW w:type="dxa" w:w="9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HVAC kW</w:t>
            </w:r>
          </w:p>
        </w:tc>
        <w:tc>
          <w:tcPr>
            <w:tcW w:type="dxa" w:w="9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Cook kW</w:t>
            </w:r>
          </w:p>
        </w:tc>
        <w:tc>
          <w:tcPr>
            <w:tcW w:type="dxa" w:w="90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Pump kW</w:t>
            </w:r>
          </w:p>
        </w:tc>
        <w:tc>
          <w:tcPr>
            <w:tcW w:type="dxa" w:w="860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Bat%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07:00Z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0.821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+0.524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0.082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0.062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80.6%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07:01Z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0.874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+0.558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0.079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0.074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80.7%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07:02Z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0.901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+0.412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0.083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1.842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0.089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80.7%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07:03Z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0.916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+0.318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0.078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2.104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0.091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80.8%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07:04Z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0.928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+0.401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0.081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1.971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0.078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80.8%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4.3  Water — Daily Summary (1DAY.csv)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Tank fill event on Day 1 at 07:00. Fresh tank depletes ~57 L/day. Black tank accumulates ~9.8 L/day from toilet flow.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800"/>
        <w:gridCol w:w="800"/>
        <w:gridCol w:w="950"/>
        <w:gridCol w:w="950"/>
        <w:gridCol w:w="800"/>
        <w:gridCol w:w="800"/>
        <w:gridCol w:w="750"/>
        <w:gridCol w:w="800"/>
        <w:gridCol w:w="800"/>
        <w:gridCol w:w="810"/>
      </w:tblGrid>
      <w:tr>
        <w:tc>
          <w:tcPr>
            <w:tcW w:type="dxa" w:w="11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Inlet L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Pump L</w:t>
            </w:r>
          </w:p>
        </w:tc>
        <w:tc>
          <w:tcPr>
            <w:tcW w:type="dxa" w:w="95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Shower L</w:t>
            </w:r>
          </w:p>
        </w:tc>
        <w:tc>
          <w:tcPr>
            <w:tcW w:type="dxa" w:w="95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Kitchen L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Toilet L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Fresh L</w:t>
            </w:r>
          </w:p>
        </w:tc>
        <w:tc>
          <w:tcPr>
            <w:tcW w:type="dxa" w:w="75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Fresh%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Grey L</w:t>
            </w:r>
          </w:p>
        </w:tc>
        <w:tc>
          <w:tcPr>
            <w:tcW w:type="dxa" w:w="8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Black L</w:t>
            </w:r>
          </w:p>
        </w:tc>
        <w:tc>
          <w:tcPr>
            <w:tcW w:type="dxa" w:w="81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Black%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2026-02-18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11.0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57.4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37.8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313.2</w:t>
            </w:r>
          </w:p>
        </w:tc>
        <w:tc>
          <w:tcPr>
            <w:tcW w:type="dxa" w:w="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82.7%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42.8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9.8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5.8%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2026-02-19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58.0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38.5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255.2</w:t>
            </w:r>
          </w:p>
        </w:tc>
        <w:tc>
          <w:tcPr>
            <w:tcW w:type="dxa" w:w="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67.4%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86.1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19.7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11.6%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2026-02-20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57.0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37.5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198.2</w:t>
            </w:r>
          </w:p>
        </w:tc>
        <w:tc>
          <w:tcPr>
            <w:tcW w:type="dxa" w:w="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52.4%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128.6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29.5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17.3%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8A" w:sz="6"/>
              <w:left w:val="single" w:color="1A7A8A" w:sz="18"/>
              <w:bottom w:val="single" w:color="1A7A8A" w:sz="6"/>
              <w:right w:val="single" w:color="1A7A8A" w:sz="6"/>
            </w:tcBorders>
            <w:shd w:fill="D0EE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8A"/>
                <w:sz w:val="20"/>
                <w:szCs w:val="20"/>
              </w:rPr>
              <w:t xml:space="preserve">Note: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Shower is ~66% of daily water use (37.8 L). Grey tank fills at ~43 L/day and reaches capacity (~189 L) around Day 4.5. Black tank fills at ~9.8 L/day from toilet flow alone and would reach capacity (~170 L) around Day 17 — well beyond a typical trip.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4.4  Water — 1-Minute Sample (Morning Window)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07:00 fill event (inlet spike) followed by morning water usage ramp. Black tank level shown incrementing from toilet flow.</w:t>
      </w:r>
    </w:p>
    <w:tbl>
      <w:tblPr>
        <w:tblW w:type="dxa" w:w="7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900"/>
        <w:gridCol w:w="900"/>
        <w:gridCol w:w="1000"/>
        <w:gridCol w:w="1000"/>
        <w:gridCol w:w="950"/>
        <w:gridCol w:w="900"/>
        <w:gridCol w:w="810"/>
      </w:tblGrid>
      <w:tr>
        <w:tc>
          <w:tcPr>
            <w:tcW w:type="dxa" w:w="11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9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Inlet Lpm</w:t>
            </w:r>
          </w:p>
        </w:tc>
        <w:tc>
          <w:tcPr>
            <w:tcW w:type="dxa" w:w="9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Pump Lpm</w:t>
            </w:r>
          </w:p>
        </w:tc>
        <w:tc>
          <w:tcPr>
            <w:tcW w:type="dxa" w:w="10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Shower Lpm</w:t>
            </w:r>
          </w:p>
        </w:tc>
        <w:tc>
          <w:tcPr>
            <w:tcW w:type="dxa" w:w="10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Kitchen Lpm</w:t>
            </w:r>
          </w:p>
        </w:tc>
        <w:tc>
          <w:tcPr>
            <w:tcW w:type="dxa" w:w="95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Toilet Lpm</w:t>
            </w:r>
          </w:p>
        </w:tc>
        <w:tc>
          <w:tcPr>
            <w:tcW w:type="dxa" w:w="90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Fresh L</w:t>
            </w:r>
          </w:p>
        </w:tc>
        <w:tc>
          <w:tcPr>
            <w:tcW w:type="dxa" w:w="810"/>
            <w:tcBorders>
              <w:top w:val="single" w:color="1A7A8A" w:sz="1"/>
              <w:left w:val="single" w:color="1A7A8A" w:sz="1"/>
              <w:bottom w:val="single" w:color="1A7A8A" w:sz="1"/>
              <w:right w:val="single" w:color="1A7A8A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Black L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07:00Z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10.952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0.198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0.126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0.038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359.17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2.00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07:01Z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0.209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0.134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0.032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0.043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358.96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2.04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07:02Z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0.213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0.134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0.038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0.040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358.75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2.08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07:03Z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0.198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0.108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0.044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0.046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358.55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2.13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07:04Z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0.000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0.222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0.155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0.033</w:t>
            </w:r>
          </w:p>
        </w:tc>
        <w:tc>
          <w:tcPr>
            <w:tcW w:type="dxa" w:w="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0.034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358.33</w:t>
            </w:r>
          </w:p>
        </w:tc>
        <w:tc>
          <w:tcPr>
            <w:tcW w:type="dxa" w:w="8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2.16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5.  Generation Logic</w:t>
      </w:r>
    </w:p>
    <w:p>
      <w:pPr>
        <w:pStyle w:val="Heading2"/>
      </w:pPr>
      <w:r>
        <w:rPr>
          <w:rFonts w:ascii="Arial" w:cs="Arial" w:eastAsia="Arial" w:hAnsi="Arial"/>
        </w:rPr>
        <w:t xml:space="preserve">5.1  Daily Budget Calculation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Before generating the time series, the script calculates a daily budget for each circuit from data.json. This ensures the generated time series integrates to realistic totals per the user profile.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960"/>
        <w:gridCol w:w="3200"/>
      </w:tblGrid>
      <w:tr>
        <w:tc>
          <w:tcPr>
            <w:tcW w:type="dxa" w:w="22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Circuit</w:t>
            </w:r>
          </w:p>
        </w:tc>
        <w:tc>
          <w:tcPr>
            <w:tcW w:type="dxa" w:w="39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in data.json</w:t>
            </w:r>
          </w:p>
        </w:tc>
        <w:tc>
          <w:tcPr>
            <w:tcW w:type="dxa" w:w="32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Typical Budget (kWh/day)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Solar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insolation_wh_m2_day[temp][humidity] x panels x area x loss x tilt x sunlight_factor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31.5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HVAC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hvac_energy_wh_day[temp] / 1000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6.92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Cooking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components.cooking amps x voltage x stove/microwave/water-heater mins per meal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4.02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Devices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Sensor idle 24h + compute idle 24h + electronics x active_hrs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2.76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Fridge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components.living Refrigerator: 120V x 0.514A x 24h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1.48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Lighting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12V x 12A x lighting_mins_per_day / 60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0.72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WaterPump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12V x 8.5A x (cook + shower + toilet pump minutes)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Inverter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120V x 0.7A x TV_mins_per_day / 60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0.08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5.2  Time-of-Day Shape Functions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Three shape functions distribute the daily budgets across minutes: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ourier New" w:cs="Courier New" w:eastAsia="Courier New" w:hAnsi="Courier New"/>
          <w:b/>
          <w:bCs/>
          <w:color w:val="1A7A8A"/>
          <w:sz w:val="18"/>
          <w:szCs w:val="18"/>
        </w:rPr>
        <w:t xml:space="preserve">solar_curve(hour):  </w:t>
      </w:r>
      <w:r>
        <w:rPr>
          <w:rFonts w:ascii="Arial" w:cs="Arial" w:eastAsia="Arial" w:hAnsi="Arial"/>
          <w:sz w:val="20"/>
          <w:szCs w:val="20"/>
        </w:rPr>
        <w:t xml:space="preserve">Sine bell from 06:00 to 18:00, peaking at noon. Multiplied by ±5% uniform noise.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ourier New" w:cs="Courier New" w:eastAsia="Courier New" w:hAnsi="Courier New"/>
          <w:b/>
          <w:bCs/>
          <w:color w:val="1A7A8A"/>
          <w:sz w:val="18"/>
          <w:szCs w:val="18"/>
        </w:rPr>
        <w:t xml:space="preserve">activity_curve(hour):  </w:t>
      </w:r>
      <w:r>
        <w:rPr>
          <w:rFonts w:ascii="Arial" w:cs="Arial" w:eastAsia="Arial" w:hAnsi="Arial"/>
          <w:sz w:val="20"/>
          <w:szCs w:val="20"/>
        </w:rPr>
        <w:t xml:space="preserve">Double Gaussian peaks at 08:00 (morning) and 19:30 (evening). Drives lighting, cooking, devices, and inverter loads.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ourier New" w:cs="Courier New" w:eastAsia="Courier New" w:hAnsi="Courier New"/>
          <w:b/>
          <w:bCs/>
          <w:color w:val="1A7A8A"/>
          <w:sz w:val="18"/>
          <w:szCs w:val="18"/>
        </w:rPr>
        <w:t xml:space="preserve">water_event_curve(hour):  </w:t>
      </w:r>
      <w:r>
        <w:rPr>
          <w:rFonts w:ascii="Arial" w:cs="Arial" w:eastAsia="Arial" w:hAnsi="Arial"/>
          <w:sz w:val="20"/>
          <w:szCs w:val="20"/>
        </w:rPr>
        <w:t xml:space="preserve">Double Gaussian at 07:30 (morning: shower + breakfast) and 19:00 (evening: dinner + dishes). Drives all water circuit and pump flows.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ourier New" w:cs="Courier New" w:eastAsia="Courier New" w:hAnsi="Courier New"/>
          <w:b/>
          <w:bCs/>
          <w:color w:val="1A7A8A"/>
          <w:sz w:val="18"/>
          <w:szCs w:val="18"/>
        </w:rPr>
        <w:t xml:space="preserve">hvac_curve(hour, temp):  </w:t>
      </w:r>
      <w:r>
        <w:rPr>
          <w:rFonts w:ascii="Arial" w:cs="Arial" w:eastAsia="Arial" w:hAnsi="Arial"/>
          <w:sz w:val="20"/>
          <w:szCs w:val="20"/>
        </w:rPr>
        <w:t xml:space="preserve">Temperature-dependent: Hot = sine peak at midday 09:00-21:00. Cold = inverted (heavier at night). Temperate = low constant.</w:t>
      </w:r>
    </w:p>
    <w:p/>
    <w:p>
      <w:pPr>
        <w:pStyle w:val="Heading2"/>
      </w:pPr>
      <w:r>
        <w:rPr>
          <w:rFonts w:ascii="Arial" w:cs="Arial" w:eastAsia="Arial" w:hAnsi="Arial"/>
        </w:rPr>
        <w:t xml:space="preserve">5.3  Battery Arbitration Logic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Each minute, the script computes net = Solar - Total_Load. If net is positive, surplus charges the battery (Battery_Flow_kW &gt; 0). If net is negative and the battery has sufficient capacity, the battery discharges to cover the deficit (Battery_Flow_kW &lt; 0). If the battery is nearly depleted, shore power activates to cover the remaining deficit. Battery state of charge is tracked cumulatively across all minutes of the trip.</w:t>
      </w:r>
    </w:p>
    <w:p>
      <w:pPr>
        <w:pStyle w:val="Heading2"/>
      </w:pPr>
      <w:r>
        <w:rPr>
          <w:rFonts w:ascii="Arial" w:cs="Arial" w:eastAsia="Arial" w:hAnsi="Arial"/>
        </w:rPr>
        <w:t xml:space="preserve">5.4  Water Tank State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Fresh tank starts at 95% capacity. Each minute, pump outflow is subtracted and inlet flow is added. Grey tank starts empty and accumulates 90% of shower and kitchen outflow (10% evaporation/loss factor). Black tank starts empty and accumulates 100% of toilet flow — every litre that passes through Toilet_Flow_Lpm is added to the black tank accumulator. Black tank capacity is read from the trailer spec (blackwater_capacity_gal × 3.78541). A detected dump event (level drop &gt; 10 L in one minute) resets the black tank accumulator to zero. A single fresh-water fill event is simulated at 07:00 on Day 1 with an inlet flow of 8-12 Lpm. If the fresh tank runs dry, circuit flows are proportionally constrained to the remaining volume.</w:t>
      </w:r>
    </w:p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6.  Generator Usage</w:t>
      </w:r>
    </w:p>
    <w:p>
      <w:pPr>
        <w:pStyle w:val="Heading2"/>
      </w:pPr>
      <w:r>
        <w:rPr>
          <w:rFonts w:ascii="Arial" w:cs="Arial" w:eastAsia="Arial" w:hAnsi="Arial"/>
        </w:rPr>
        <w:t xml:space="preserve">6.1 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Python 3.10+  (standard library only — no additional pip packages required)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data.json lookup file in the working directory</w:t>
      </w:r>
    </w:p>
    <w:p/>
    <w:p>
      <w:pPr>
        <w:pStyle w:val="Heading2"/>
      </w:pPr>
      <w:r>
        <w:rPr>
          <w:rFonts w:ascii="Arial" w:cs="Arial" w:eastAsia="Arial" w:hAnsi="Arial"/>
        </w:rPr>
        <w:t xml:space="preserve">6.2  Command-Line Arguments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5760"/>
      </w:tblGrid>
      <w:tr>
        <w:tc>
          <w:tcPr>
            <w:tcW w:type="dxa" w:w="1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Argument</w:t>
            </w:r>
          </w:p>
        </w:tc>
        <w:tc>
          <w:tcPr>
            <w:tcW w:type="dxa" w:w="180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5760"/>
            <w:tcBorders>
              <w:top w:val="single" w:color="1B3A6B" w:sz="1"/>
              <w:left w:val="single" w:color="1B3A6B" w:sz="1"/>
              <w:bottom w:val="single" w:color="1B3A6B" w:sz="1"/>
              <w:right w:val="single" w:color="1B3A6B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--config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data.json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Path to the lookup data JSON file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--out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output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Output directory for CSV files and ZIP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--seed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42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Random seed for reproducible output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--user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from data.json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Profile override: Glamper / Typical / Expert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--people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from data.json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Number of occupants (1-4)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from data.json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Trip duration in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--temp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from data.json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Temperature: Hot / Temperate / Cold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--start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2026-02-18T00:00:00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Trip start datetime in ISO format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</w:rPr>
        <w:t xml:space="preserve">6.3  Example Commands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Default (Typical, 3 days, Hot, 2 people):</w:t>
      </w:r>
    </w:p>
    <w:p>
      <w:pPr>
        <w:spacing w:after="80"/>
        <w:ind w:left="360"/>
      </w:pPr>
      <w:r>
        <w:rPr>
          <w:rFonts w:ascii="Courier New" w:cs="Courier New" w:eastAsia="Courier New" w:hAnsi="Courier New"/>
          <w:color w:val="1A7A8A"/>
          <w:sz w:val="20"/>
          <w:szCs w:val="20"/>
        </w:rPr>
        <w:t xml:space="preserve">python generate_mock_data.py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Glamper profile, 4 people, 7 days:</w:t>
      </w:r>
    </w:p>
    <w:p>
      <w:pPr>
        <w:spacing w:after="80"/>
        <w:ind w:left="360"/>
      </w:pPr>
      <w:r>
        <w:rPr>
          <w:rFonts w:ascii="Courier New" w:cs="Courier New" w:eastAsia="Courier New" w:hAnsi="Courier New"/>
          <w:color w:val="1A7A8A"/>
          <w:sz w:val="20"/>
          <w:szCs w:val="20"/>
        </w:rPr>
        <w:t xml:space="preserve">python generate_mock_data.py --user Glamper --people 4 --days 7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Cold winter trip, Expert camper:</w:t>
      </w:r>
    </w:p>
    <w:p>
      <w:pPr>
        <w:spacing w:after="80"/>
        <w:ind w:left="360"/>
      </w:pPr>
      <w:r>
        <w:rPr>
          <w:rFonts w:ascii="Courier New" w:cs="Courier New" w:eastAsia="Courier New" w:hAnsi="Courier New"/>
          <w:color w:val="1A7A8A"/>
          <w:sz w:val="20"/>
          <w:szCs w:val="20"/>
        </w:rPr>
        <w:t xml:space="preserve">python generate_mock_data.py --user Expert --temp Cold --days 5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Cloudy conditions, reproducible seed:</w:t>
      </w:r>
    </w:p>
    <w:p>
      <w:pPr>
        <w:spacing w:after="80"/>
        <w:ind w:left="360"/>
      </w:pPr>
      <w:r>
        <w:rPr>
          <w:rFonts w:ascii="Courier New" w:cs="Courier New" w:eastAsia="Courier New" w:hAnsi="Courier New"/>
          <w:color w:val="1A7A8A"/>
          <w:sz w:val="20"/>
          <w:szCs w:val="20"/>
        </w:rPr>
        <w:t xml:space="preserve">python generate_mock_data.py --temp Temperate --seed 99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Custom output location:</w:t>
      </w:r>
    </w:p>
    <w:p>
      <w:pPr>
        <w:spacing w:after="80"/>
        <w:ind w:left="360"/>
      </w:pPr>
      <w:r>
        <w:rPr>
          <w:rFonts w:ascii="Courier New" w:cs="Courier New" w:eastAsia="Courier New" w:hAnsi="Courier New"/>
          <w:color w:val="1A7A8A"/>
          <w:sz w:val="20"/>
          <w:szCs w:val="20"/>
        </w:rPr>
        <w:t xml:space="preserve">python generate_mock_data.py --out /data/trip1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Generated by generate_mock_data.py  |  </w:t>
    </w: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FA3" w:sz="6" w:space="1"/>
      </w:pBdr>
    </w:pP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EV Camper Resource Monitor  </w:t>
    </w:r>
    <w:r>
      <w:rPr>
        <w:rFonts w:ascii="Arial" w:cs="Arial" w:eastAsia="Arial" w:hAnsi="Arial"/>
        <w:color w:val="2E5FA3"/>
        <w:sz w:val="18"/>
        <w:szCs w:val="18"/>
      </w:rPr>
      <w:t xml:space="preserve">—  Mock Data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5FA3" w:sz="6" w:space="1"/>
      </w:pBdr>
      <w:spacing w:before="36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Arial" w:cs="Arial" w:eastAsia="Arial" w:hAnsi="Arial"/>
      <w:b/>
      <w:bCs/>
      <w:color w:val="2E5FA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1A7A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2026-02-18T18:08:34.271Z</dcterms:created>
  <dcterms:modified xsi:type="dcterms:W3CDTF">2026-02-18T18:08:34.272Z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